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EE3D" w14:textId="77777777" w:rsidR="00327AD4" w:rsidRDefault="00327AD4" w:rsidP="00327AD4">
      <w:pPr>
        <w:spacing w:before="270"/>
        <w:ind w:left="28"/>
        <w:rPr>
          <w:b/>
          <w:color w:val="000000"/>
          <w:sz w:val="27"/>
        </w:rPr>
      </w:pPr>
      <w:r>
        <w:rPr>
          <w:b/>
          <w:color w:val="424242"/>
          <w:sz w:val="27"/>
        </w:rPr>
        <w:t>Dual</w:t>
      </w:r>
      <w:r>
        <w:rPr>
          <w:b/>
          <w:color w:val="424242"/>
          <w:spacing w:val="-7"/>
          <w:sz w:val="27"/>
        </w:rPr>
        <w:t xml:space="preserve"> </w:t>
      </w:r>
      <w:r>
        <w:rPr>
          <w:b/>
          <w:color w:val="424242"/>
          <w:sz w:val="27"/>
        </w:rPr>
        <w:t>Credit</w:t>
      </w:r>
      <w:r>
        <w:rPr>
          <w:b/>
          <w:color w:val="424242"/>
          <w:spacing w:val="-8"/>
          <w:sz w:val="27"/>
        </w:rPr>
        <w:t xml:space="preserve"> </w:t>
      </w:r>
      <w:r>
        <w:rPr>
          <w:b/>
          <w:color w:val="424242"/>
          <w:sz w:val="27"/>
        </w:rPr>
        <w:t>and</w:t>
      </w:r>
      <w:r>
        <w:rPr>
          <w:b/>
          <w:color w:val="424242"/>
          <w:spacing w:val="-6"/>
          <w:sz w:val="27"/>
        </w:rPr>
        <w:t xml:space="preserve"> </w:t>
      </w:r>
      <w:r>
        <w:rPr>
          <w:b/>
          <w:color w:val="424242"/>
          <w:sz w:val="27"/>
        </w:rPr>
        <w:t>Sponsored</w:t>
      </w:r>
      <w:r>
        <w:rPr>
          <w:b/>
          <w:color w:val="424242"/>
          <w:spacing w:val="-6"/>
          <w:sz w:val="27"/>
        </w:rPr>
        <w:t xml:space="preserve"> </w:t>
      </w:r>
      <w:r>
        <w:rPr>
          <w:b/>
          <w:color w:val="424242"/>
          <w:sz w:val="27"/>
        </w:rPr>
        <w:t>Dual</w:t>
      </w:r>
      <w:r>
        <w:rPr>
          <w:b/>
          <w:color w:val="424242"/>
          <w:spacing w:val="-8"/>
          <w:sz w:val="27"/>
        </w:rPr>
        <w:t xml:space="preserve"> </w:t>
      </w:r>
      <w:r>
        <w:rPr>
          <w:b/>
          <w:color w:val="424242"/>
          <w:sz w:val="27"/>
        </w:rPr>
        <w:t>Credit</w:t>
      </w:r>
      <w:r>
        <w:rPr>
          <w:b/>
          <w:color w:val="424242"/>
          <w:spacing w:val="-6"/>
          <w:sz w:val="27"/>
        </w:rPr>
        <w:t xml:space="preserve"> </w:t>
      </w:r>
      <w:r>
        <w:rPr>
          <w:b/>
          <w:color w:val="424242"/>
          <w:sz w:val="27"/>
        </w:rPr>
        <w:t>Instructor</w:t>
      </w:r>
      <w:r>
        <w:rPr>
          <w:b/>
          <w:color w:val="424242"/>
          <w:spacing w:val="-8"/>
          <w:sz w:val="27"/>
        </w:rPr>
        <w:t xml:space="preserve"> </w:t>
      </w:r>
      <w:r>
        <w:rPr>
          <w:b/>
          <w:color w:val="424242"/>
          <w:sz w:val="27"/>
        </w:rPr>
        <w:t>Resources</w:t>
      </w:r>
      <w:r>
        <w:rPr>
          <w:b/>
          <w:color w:val="424242"/>
          <w:spacing w:val="-5"/>
          <w:sz w:val="27"/>
        </w:rPr>
        <w:t xml:space="preserve"> </w:t>
      </w:r>
      <w:r>
        <w:rPr>
          <w:b/>
          <w:color w:val="424242"/>
          <w:sz w:val="27"/>
        </w:rPr>
        <w:t>and</w:t>
      </w:r>
      <w:r>
        <w:rPr>
          <w:b/>
          <w:color w:val="424242"/>
          <w:spacing w:val="-6"/>
          <w:sz w:val="27"/>
        </w:rPr>
        <w:t xml:space="preserve"> </w:t>
      </w:r>
      <w:r>
        <w:rPr>
          <w:b/>
          <w:color w:val="424242"/>
          <w:spacing w:val="-2"/>
          <w:sz w:val="27"/>
        </w:rPr>
        <w:t>Supports</w:t>
      </w:r>
    </w:p>
    <w:p w14:paraId="5E5C9497" w14:textId="77777777" w:rsidR="00327AD4" w:rsidRDefault="00327AD4" w:rsidP="00327AD4">
      <w:pPr>
        <w:pStyle w:val="BodyText"/>
        <w:spacing w:before="88"/>
        <w:ind w:left="28"/>
        <w:rPr>
          <w:color w:val="000000"/>
        </w:rPr>
      </w:pPr>
      <w:r>
        <w:rPr>
          <w:color w:val="424242"/>
        </w:rPr>
        <w:t>The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Klamath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Community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College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Learning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Resource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Center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(LRC)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understands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importance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of resources and support. The LRC offers access to many free educational tools for students and instructors, including research materials from the online library, placement testing, 24/7 tutoring services, and in-person tutoring.</w:t>
      </w:r>
    </w:p>
    <w:p w14:paraId="4E31687E" w14:textId="77777777" w:rsidR="00327AD4" w:rsidRDefault="00327AD4" w:rsidP="00327AD4">
      <w:pPr>
        <w:pStyle w:val="BodyText"/>
        <w:spacing w:before="134"/>
        <w:ind w:left="719" w:right="727"/>
      </w:pPr>
      <w:r>
        <w:t>The</w:t>
      </w:r>
      <w:r>
        <w:rPr>
          <w:spacing w:val="-3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for your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locate</w:t>
      </w:r>
      <w:r>
        <w:rPr>
          <w:spacing w:val="-3"/>
        </w:rPr>
        <w:t xml:space="preserve"> </w:t>
      </w:r>
      <w:r>
        <w:t xml:space="preserve">the information you require, reach out to the LRC Staff. Contact information is located on the LRC </w:t>
      </w:r>
      <w:r>
        <w:rPr>
          <w:spacing w:val="-2"/>
        </w:rPr>
        <w:t>Homepage.</w:t>
      </w:r>
    </w:p>
    <w:p w14:paraId="5882925F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Center</w:t>
      </w:r>
      <w:r>
        <w:rPr>
          <w:b/>
          <w:color w:val="424242"/>
          <w:spacing w:val="-7"/>
        </w:rPr>
        <w:t xml:space="preserve"> </w:t>
      </w:r>
      <w:r>
        <w:rPr>
          <w:b/>
          <w:color w:val="424242"/>
        </w:rPr>
        <w:t>for</w:t>
      </w:r>
      <w:r>
        <w:rPr>
          <w:b/>
          <w:color w:val="424242"/>
          <w:spacing w:val="-4"/>
        </w:rPr>
        <w:t xml:space="preserve"> </w:t>
      </w:r>
      <w:r>
        <w:rPr>
          <w:b/>
          <w:color w:val="424242"/>
        </w:rPr>
        <w:t>Teaching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and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Learning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(CTL)</w:t>
      </w:r>
      <w:r>
        <w:rPr>
          <w:color w:val="424242"/>
        </w:rPr>
        <w:t>:</w:t>
      </w:r>
      <w:r>
        <w:rPr>
          <w:color w:val="424242"/>
          <w:spacing w:val="-4"/>
        </w:rPr>
        <w:t xml:space="preserve"> </w:t>
      </w:r>
      <w:hyperlink r:id="rId5">
        <w:r>
          <w:rPr>
            <w:color w:val="0000FF"/>
            <w:spacing w:val="-5"/>
            <w:u w:val="single" w:color="0000FF"/>
          </w:rPr>
          <w:t>CTL</w:t>
        </w:r>
      </w:hyperlink>
    </w:p>
    <w:p w14:paraId="2436363B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Database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landing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page</w:t>
      </w:r>
      <w:r>
        <w:rPr>
          <w:color w:val="424242"/>
        </w:rPr>
        <w:t>:</w:t>
      </w:r>
      <w:r>
        <w:rPr>
          <w:color w:val="424242"/>
          <w:spacing w:val="-7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Data</w:t>
        </w:r>
        <w:r>
          <w:rPr>
            <w:color w:val="0000FF"/>
            <w:spacing w:val="-2"/>
            <w:u w:val="single" w:color="0000FF"/>
          </w:rPr>
          <w:t>b</w:t>
        </w:r>
        <w:r>
          <w:rPr>
            <w:color w:val="0000FF"/>
            <w:spacing w:val="-2"/>
            <w:u w:val="single" w:color="0000FF"/>
          </w:rPr>
          <w:t>ase</w:t>
        </w:r>
      </w:hyperlink>
    </w:p>
    <w:p w14:paraId="4ECB489A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before="1"/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Learning</w:t>
      </w:r>
      <w:r>
        <w:rPr>
          <w:b/>
          <w:color w:val="424242"/>
          <w:spacing w:val="-7"/>
        </w:rPr>
        <w:t xml:space="preserve"> </w:t>
      </w:r>
      <w:r>
        <w:rPr>
          <w:b/>
          <w:color w:val="424242"/>
        </w:rPr>
        <w:t>Resource</w:t>
      </w:r>
      <w:r>
        <w:rPr>
          <w:b/>
          <w:color w:val="424242"/>
          <w:spacing w:val="-7"/>
        </w:rPr>
        <w:t xml:space="preserve"> </w:t>
      </w:r>
      <w:r>
        <w:rPr>
          <w:b/>
          <w:color w:val="424242"/>
        </w:rPr>
        <w:t>Center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Homepage</w:t>
      </w:r>
      <w:r>
        <w:rPr>
          <w:color w:val="424242"/>
        </w:rPr>
        <w:t>:</w:t>
      </w:r>
      <w:r>
        <w:rPr>
          <w:color w:val="424242"/>
          <w:spacing w:val="-6"/>
        </w:rPr>
        <w:t xml:space="preserve"> </w:t>
      </w:r>
      <w:hyperlink r:id="rId7">
        <w:r>
          <w:rPr>
            <w:color w:val="0000FF"/>
            <w:spacing w:val="-5"/>
            <w:u w:val="single" w:color="0000FF"/>
          </w:rPr>
          <w:t>LRC</w:t>
        </w:r>
      </w:hyperlink>
    </w:p>
    <w:p w14:paraId="67AD2D9C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Library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Guides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landing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page</w:t>
      </w:r>
      <w:r>
        <w:rPr>
          <w:color w:val="424242"/>
        </w:rPr>
        <w:t>:</w:t>
      </w:r>
      <w:r>
        <w:rPr>
          <w:color w:val="424242"/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Library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Guides</w:t>
        </w:r>
      </w:hyperlink>
    </w:p>
    <w:p w14:paraId="79BBA890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Library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landing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page</w:t>
      </w:r>
      <w:r>
        <w:rPr>
          <w:color w:val="424242"/>
        </w:rPr>
        <w:t>:</w:t>
      </w:r>
      <w:r>
        <w:rPr>
          <w:color w:val="424242"/>
          <w:spacing w:val="-5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Library</w:t>
        </w:r>
      </w:hyperlink>
    </w:p>
    <w:p w14:paraId="2F3E95EC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Testing</w:t>
      </w:r>
      <w:r>
        <w:rPr>
          <w:b/>
          <w:color w:val="424242"/>
          <w:spacing w:val="-8"/>
        </w:rPr>
        <w:t xml:space="preserve"> </w:t>
      </w:r>
      <w:r>
        <w:rPr>
          <w:b/>
          <w:color w:val="424242"/>
        </w:rPr>
        <w:t>Center</w:t>
      </w:r>
      <w:r>
        <w:rPr>
          <w:b/>
          <w:color w:val="424242"/>
          <w:spacing w:val="-5"/>
        </w:rPr>
        <w:t xml:space="preserve"> </w:t>
      </w:r>
      <w:r>
        <w:rPr>
          <w:b/>
          <w:color w:val="424242"/>
        </w:rPr>
        <w:t>landing</w:t>
      </w:r>
      <w:r>
        <w:rPr>
          <w:b/>
          <w:color w:val="424242"/>
          <w:spacing w:val="-7"/>
        </w:rPr>
        <w:t xml:space="preserve"> </w:t>
      </w:r>
      <w:r>
        <w:rPr>
          <w:b/>
          <w:color w:val="424242"/>
        </w:rPr>
        <w:t>page</w:t>
      </w:r>
      <w:r>
        <w:rPr>
          <w:color w:val="424242"/>
        </w:rPr>
        <w:t>:</w:t>
      </w:r>
      <w:r>
        <w:rPr>
          <w:color w:val="424242"/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Testing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Center</w:t>
        </w:r>
      </w:hyperlink>
    </w:p>
    <w:p w14:paraId="0F0A5115" w14:textId="77777777" w:rsidR="00327AD4" w:rsidRDefault="00327AD4" w:rsidP="00327AD4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ind w:left="1440" w:hanging="361"/>
        <w:rPr>
          <w:rFonts w:ascii="Symbol" w:hAnsi="Symbol"/>
          <w:color w:val="424242"/>
        </w:rPr>
      </w:pPr>
      <w:r>
        <w:rPr>
          <w:b/>
          <w:color w:val="424242"/>
        </w:rPr>
        <w:t>Tutoring</w:t>
      </w:r>
      <w:r>
        <w:rPr>
          <w:b/>
          <w:color w:val="424242"/>
          <w:spacing w:val="-8"/>
        </w:rPr>
        <w:t xml:space="preserve"> </w:t>
      </w:r>
      <w:r>
        <w:rPr>
          <w:b/>
          <w:color w:val="424242"/>
        </w:rPr>
        <w:t>Center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landing</w:t>
      </w:r>
      <w:r>
        <w:rPr>
          <w:b/>
          <w:color w:val="424242"/>
          <w:spacing w:val="-6"/>
        </w:rPr>
        <w:t xml:space="preserve"> </w:t>
      </w:r>
      <w:r>
        <w:rPr>
          <w:b/>
          <w:color w:val="424242"/>
        </w:rPr>
        <w:t>page</w:t>
      </w:r>
      <w:r>
        <w:rPr>
          <w:color w:val="424242"/>
        </w:rPr>
        <w:t>:</w:t>
      </w:r>
      <w:r>
        <w:rPr>
          <w:color w:val="424242"/>
          <w:spacing w:val="-6"/>
        </w:rPr>
        <w:t xml:space="preserve"> </w:t>
      </w:r>
      <w:hyperlink r:id="rId11">
        <w:r>
          <w:rPr>
            <w:color w:val="0000FF"/>
            <w:u w:val="single" w:color="0000FF"/>
          </w:rPr>
          <w:t>Tutoring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Center</w:t>
        </w:r>
      </w:hyperlink>
    </w:p>
    <w:p w14:paraId="7445B8EC" w14:textId="77777777" w:rsidR="00BF1084" w:rsidRDefault="00BF1084"/>
    <w:sectPr w:rsidR="00BF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433C"/>
    <w:multiLevelType w:val="hybridMultilevel"/>
    <w:tmpl w:val="092A06A6"/>
    <w:lvl w:ilvl="0" w:tplc="7AC0BB28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0C6BD8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12FC90B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1B4C83D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10247C4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DB34D36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95E4D54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25184E4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30E41E7E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D4"/>
    <w:rsid w:val="00327AD4"/>
    <w:rsid w:val="00B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8FA0"/>
  <w15:chartTrackingRefBased/>
  <w15:docId w15:val="{895FD0FB-BD9A-409C-A6CF-B31F8CD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D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7A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AD4"/>
    <w:rPr>
      <w:rFonts w:ascii="Segoe UI" w:eastAsia="Segoe UI" w:hAnsi="Segoe UI" w:cs="Segoe UI"/>
      <w:sz w:val="24"/>
      <w:szCs w:val="24"/>
    </w:rPr>
  </w:style>
  <w:style w:type="paragraph" w:styleId="ListParagraph">
    <w:name w:val="List Paragraph"/>
    <w:basedOn w:val="Normal"/>
    <w:uiPriority w:val="1"/>
    <w:qFormat/>
    <w:rsid w:val="00327AD4"/>
    <w:pPr>
      <w:ind w:left="14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mathcc.libguides.com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lamathcc.edu/en-US/academics/learning-resource-cente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kcc.klamathcc.edu/ICS/LRC/Resources.jnz?portlet=Find_Research_Materials" TargetMode="External"/><Relationship Id="rId11" Type="http://schemas.openxmlformats.org/officeDocument/2006/relationships/hyperlink" Target="https://www.klamathcc.edu/en-US/academics/learning-resource-center/tutoring-center/index.html" TargetMode="External"/><Relationship Id="rId5" Type="http://schemas.openxmlformats.org/officeDocument/2006/relationships/hyperlink" Target="https://www.klamathcc.edu/en-US/academics/center-for-teaching-and-learning/about-us.html" TargetMode="External"/><Relationship Id="rId10" Type="http://schemas.openxmlformats.org/officeDocument/2006/relationships/hyperlink" Target="https://www.klamathcc.edu/en-US/academics/learning-resource-center/testing-cente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mathcc.edu/en-US/academics/learning-resource-center/librar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Klamath Community College 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Ellis</dc:creator>
  <cp:keywords/>
  <dc:description/>
  <cp:lastModifiedBy>Tawni Ellis</cp:lastModifiedBy>
  <cp:revision>1</cp:revision>
  <dcterms:created xsi:type="dcterms:W3CDTF">2025-07-15T15:09:00Z</dcterms:created>
  <dcterms:modified xsi:type="dcterms:W3CDTF">2025-07-15T15:10:00Z</dcterms:modified>
</cp:coreProperties>
</file>