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AD30" w14:textId="77777777" w:rsidR="00D43758" w:rsidRDefault="00D43758" w:rsidP="00D43758">
      <w:pPr>
        <w:spacing w:before="161"/>
        <w:ind w:left="28"/>
        <w:rPr>
          <w:b/>
          <w:color w:val="000000"/>
          <w:sz w:val="24"/>
        </w:rPr>
      </w:pPr>
      <w:bookmarkStart w:id="0" w:name="Student_Code_of_Conduct"/>
      <w:bookmarkEnd w:id="0"/>
      <w:r>
        <w:rPr>
          <w:b/>
          <w:color w:val="424242"/>
          <w:sz w:val="24"/>
        </w:rPr>
        <w:t>Student</w:t>
      </w:r>
      <w:r>
        <w:rPr>
          <w:b/>
          <w:color w:val="424242"/>
          <w:spacing w:val="-1"/>
          <w:sz w:val="24"/>
        </w:rPr>
        <w:t xml:space="preserve"> </w:t>
      </w:r>
      <w:r>
        <w:rPr>
          <w:b/>
          <w:color w:val="424242"/>
          <w:sz w:val="24"/>
        </w:rPr>
        <w:t>Code of</w:t>
      </w:r>
      <w:r>
        <w:rPr>
          <w:b/>
          <w:color w:val="424242"/>
          <w:spacing w:val="-1"/>
          <w:sz w:val="24"/>
        </w:rPr>
        <w:t xml:space="preserve"> </w:t>
      </w:r>
      <w:r>
        <w:rPr>
          <w:b/>
          <w:color w:val="424242"/>
          <w:spacing w:val="-2"/>
          <w:sz w:val="24"/>
        </w:rPr>
        <w:t>Conduct</w:t>
      </w:r>
    </w:p>
    <w:p w14:paraId="57C4F2E3" w14:textId="5DDFFF67" w:rsidR="00D43758" w:rsidRDefault="00D43758" w:rsidP="00D43758">
      <w:pPr>
        <w:pStyle w:val="BodyText"/>
        <w:spacing w:before="91"/>
        <w:ind w:left="28"/>
        <w:rPr>
          <w:color w:val="424242"/>
        </w:rPr>
      </w:pPr>
      <w:r>
        <w:rPr>
          <w:color w:val="424242"/>
        </w:rPr>
        <w:t>Students are expected to maintain reasonable standards of behavior while pursuing their educational goals.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Enrollment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KCC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carries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obligations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responsibilities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that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respect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College's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mission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and functions. For full details, refer to the </w:t>
      </w:r>
      <w:hyperlink r:id="rId4">
        <w:r>
          <w:rPr>
            <w:color w:val="0000FF"/>
            <w:sz w:val="22"/>
            <w:u w:val="single" w:color="0000FF"/>
          </w:rPr>
          <w:t>Student Code of Conduct</w:t>
        </w:r>
        <w:r>
          <w:rPr>
            <w:color w:val="424242"/>
          </w:rPr>
          <w:t>.</w:t>
        </w:r>
      </w:hyperlink>
    </w:p>
    <w:p w14:paraId="7555F219" w14:textId="7D35A78F" w:rsidR="00D43758" w:rsidRDefault="00D43758" w:rsidP="00D43758">
      <w:pPr>
        <w:pStyle w:val="BodyText"/>
        <w:spacing w:before="91"/>
        <w:ind w:left="28"/>
        <w:rPr>
          <w:color w:val="424242"/>
        </w:rPr>
      </w:pPr>
    </w:p>
    <w:p w14:paraId="0E6A0A2B" w14:textId="77777777" w:rsidR="00D43758" w:rsidRDefault="00D43758" w:rsidP="00D43758">
      <w:pPr>
        <w:pStyle w:val="BodyText"/>
        <w:spacing w:before="91"/>
        <w:ind w:left="28"/>
        <w:rPr>
          <w:color w:val="000000"/>
        </w:rPr>
      </w:pPr>
    </w:p>
    <w:p w14:paraId="6FA4CE60" w14:textId="77777777" w:rsidR="00D43758" w:rsidRDefault="00D43758" w:rsidP="00D43758">
      <w:pPr>
        <w:ind w:left="28"/>
        <w:rPr>
          <w:b/>
          <w:color w:val="000000"/>
          <w:sz w:val="24"/>
        </w:rPr>
      </w:pPr>
      <w:r>
        <w:rPr>
          <w:b/>
          <w:color w:val="424242"/>
          <w:sz w:val="24"/>
        </w:rPr>
        <w:t>Student</w:t>
      </w:r>
      <w:r>
        <w:rPr>
          <w:b/>
          <w:color w:val="424242"/>
          <w:spacing w:val="-2"/>
          <w:sz w:val="24"/>
        </w:rPr>
        <w:t xml:space="preserve"> </w:t>
      </w:r>
      <w:r>
        <w:rPr>
          <w:b/>
          <w:color w:val="424242"/>
          <w:sz w:val="24"/>
        </w:rPr>
        <w:t>Accessibility</w:t>
      </w:r>
      <w:r>
        <w:rPr>
          <w:b/>
          <w:color w:val="424242"/>
          <w:spacing w:val="-2"/>
          <w:sz w:val="24"/>
        </w:rPr>
        <w:t xml:space="preserve"> </w:t>
      </w:r>
      <w:r>
        <w:rPr>
          <w:b/>
          <w:color w:val="424242"/>
          <w:sz w:val="24"/>
        </w:rPr>
        <w:t>Services</w:t>
      </w:r>
      <w:r>
        <w:rPr>
          <w:b/>
          <w:color w:val="424242"/>
          <w:spacing w:val="-2"/>
          <w:sz w:val="24"/>
        </w:rPr>
        <w:t xml:space="preserve"> </w:t>
      </w:r>
      <w:r>
        <w:rPr>
          <w:b/>
          <w:color w:val="424242"/>
          <w:sz w:val="24"/>
        </w:rPr>
        <w:t>and</w:t>
      </w:r>
      <w:r>
        <w:rPr>
          <w:b/>
          <w:color w:val="424242"/>
          <w:spacing w:val="-1"/>
          <w:sz w:val="24"/>
        </w:rPr>
        <w:t xml:space="preserve"> </w:t>
      </w:r>
      <w:r>
        <w:rPr>
          <w:b/>
          <w:color w:val="424242"/>
          <w:spacing w:val="-2"/>
          <w:sz w:val="24"/>
        </w:rPr>
        <w:t>Resources</w:t>
      </w:r>
    </w:p>
    <w:p w14:paraId="208E2D8A" w14:textId="77777777" w:rsidR="00D43758" w:rsidRDefault="00D43758" w:rsidP="00D43758">
      <w:pPr>
        <w:spacing w:before="91"/>
        <w:ind w:left="28" w:right="204"/>
        <w:rPr>
          <w:color w:val="000000"/>
          <w:sz w:val="24"/>
        </w:rPr>
      </w:pPr>
      <w:r>
        <w:rPr>
          <w:color w:val="424242"/>
          <w:sz w:val="24"/>
        </w:rPr>
        <w:t>For</w:t>
      </w:r>
      <w:r>
        <w:rPr>
          <w:color w:val="424242"/>
          <w:spacing w:val="-4"/>
          <w:sz w:val="24"/>
        </w:rPr>
        <w:t xml:space="preserve"> </w:t>
      </w:r>
      <w:r>
        <w:rPr>
          <w:color w:val="424242"/>
          <w:sz w:val="24"/>
        </w:rPr>
        <w:t>information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on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Accessibility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Services</w:t>
      </w:r>
      <w:r>
        <w:rPr>
          <w:color w:val="424242"/>
          <w:spacing w:val="-5"/>
          <w:sz w:val="24"/>
        </w:rPr>
        <w:t xml:space="preserve"> </w:t>
      </w:r>
      <w:r>
        <w:rPr>
          <w:color w:val="424242"/>
          <w:sz w:val="24"/>
        </w:rPr>
        <w:t>and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Resources,</w:t>
      </w:r>
      <w:r>
        <w:rPr>
          <w:color w:val="424242"/>
          <w:spacing w:val="-4"/>
          <w:sz w:val="24"/>
        </w:rPr>
        <w:t xml:space="preserve"> </w:t>
      </w:r>
      <w:r>
        <w:rPr>
          <w:color w:val="424242"/>
          <w:sz w:val="24"/>
        </w:rPr>
        <w:t>refer</w:t>
      </w:r>
      <w:r>
        <w:rPr>
          <w:color w:val="424242"/>
          <w:spacing w:val="-4"/>
          <w:sz w:val="24"/>
        </w:rPr>
        <w:t xml:space="preserve"> </w:t>
      </w:r>
      <w:r>
        <w:rPr>
          <w:color w:val="424242"/>
          <w:sz w:val="24"/>
        </w:rPr>
        <w:t>to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the</w:t>
      </w:r>
      <w:r>
        <w:rPr>
          <w:color w:val="424242"/>
          <w:spacing w:val="-3"/>
          <w:sz w:val="24"/>
        </w:rPr>
        <w:t xml:space="preserve"> </w:t>
      </w:r>
      <w:hyperlink r:id="rId5"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Accessibility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</w:hyperlink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3"/>
        </w:rPr>
        <w:t xml:space="preserve"> </w:t>
      </w:r>
      <w:r>
        <w:rPr>
          <w:color w:val="0000FF"/>
          <w:u w:val="single" w:color="0000FF"/>
        </w:rPr>
        <w:t>Resources</w:t>
      </w:r>
      <w:r>
        <w:rPr>
          <w:color w:val="0000FF"/>
        </w:rPr>
        <w:t xml:space="preserve"> </w:t>
      </w:r>
      <w:r>
        <w:rPr>
          <w:color w:val="424242"/>
          <w:sz w:val="24"/>
        </w:rPr>
        <w:t>page.</w:t>
      </w:r>
    </w:p>
    <w:p w14:paraId="0975D9EF" w14:textId="77777777" w:rsidR="00D43758" w:rsidRDefault="00D43758" w:rsidP="00D43758">
      <w:pPr>
        <w:spacing w:before="190"/>
        <w:ind w:left="28"/>
        <w:rPr>
          <w:b/>
          <w:color w:val="000000"/>
          <w:sz w:val="24"/>
        </w:rPr>
      </w:pPr>
      <w:bookmarkStart w:id="1" w:name="Students_Rights_and_Responsibilities"/>
      <w:bookmarkEnd w:id="1"/>
      <w:r>
        <w:rPr>
          <w:b/>
          <w:color w:val="424242"/>
          <w:sz w:val="24"/>
        </w:rPr>
        <w:t>Students</w:t>
      </w:r>
      <w:r>
        <w:rPr>
          <w:b/>
          <w:color w:val="424242"/>
          <w:spacing w:val="-1"/>
          <w:sz w:val="24"/>
        </w:rPr>
        <w:t xml:space="preserve"> </w:t>
      </w:r>
      <w:r>
        <w:rPr>
          <w:b/>
          <w:color w:val="424242"/>
          <w:sz w:val="24"/>
        </w:rPr>
        <w:t>Rights and</w:t>
      </w:r>
      <w:r>
        <w:rPr>
          <w:b/>
          <w:color w:val="424242"/>
          <w:spacing w:val="-3"/>
          <w:sz w:val="24"/>
        </w:rPr>
        <w:t xml:space="preserve"> </w:t>
      </w:r>
      <w:r>
        <w:rPr>
          <w:b/>
          <w:color w:val="424242"/>
          <w:spacing w:val="-2"/>
          <w:sz w:val="24"/>
        </w:rPr>
        <w:t>Responsibilities</w:t>
      </w:r>
    </w:p>
    <w:p w14:paraId="09364E4A" w14:textId="77777777" w:rsidR="00D43758" w:rsidRDefault="00D43758" w:rsidP="00D43758">
      <w:pPr>
        <w:spacing w:before="91"/>
        <w:ind w:left="28"/>
        <w:rPr>
          <w:color w:val="000000"/>
          <w:sz w:val="24"/>
        </w:rPr>
      </w:pPr>
      <w:r>
        <w:rPr>
          <w:color w:val="424242"/>
          <w:sz w:val="24"/>
        </w:rPr>
        <w:t>For</w:t>
      </w:r>
      <w:r>
        <w:rPr>
          <w:color w:val="424242"/>
          <w:spacing w:val="-6"/>
          <w:sz w:val="24"/>
        </w:rPr>
        <w:t xml:space="preserve"> </w:t>
      </w:r>
      <w:r>
        <w:rPr>
          <w:color w:val="424242"/>
          <w:sz w:val="24"/>
        </w:rPr>
        <w:t>detailed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information,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refer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to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the</w:t>
      </w:r>
      <w:r>
        <w:rPr>
          <w:color w:val="424242"/>
          <w:spacing w:val="-5"/>
          <w:sz w:val="24"/>
        </w:rPr>
        <w:t xml:space="preserve"> </w:t>
      </w:r>
      <w:hyperlink r:id="rId6">
        <w:r>
          <w:rPr>
            <w:color w:val="0000FF"/>
            <w:u w:val="single" w:color="0000FF"/>
          </w:rPr>
          <w:t>KCC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2"/>
            <w:u w:val="single" w:color="0000FF"/>
          </w:rPr>
          <w:t xml:space="preserve"> Handbook</w:t>
        </w:r>
        <w:r>
          <w:rPr>
            <w:color w:val="424242"/>
            <w:spacing w:val="-2"/>
            <w:sz w:val="24"/>
          </w:rPr>
          <w:t>.</w:t>
        </w:r>
      </w:hyperlink>
    </w:p>
    <w:p w14:paraId="036623A9" w14:textId="77777777" w:rsidR="00D43758" w:rsidRDefault="00D43758" w:rsidP="00D43758">
      <w:pPr>
        <w:spacing w:before="189"/>
        <w:ind w:left="28"/>
        <w:rPr>
          <w:b/>
          <w:color w:val="000000"/>
          <w:sz w:val="24"/>
        </w:rPr>
      </w:pPr>
      <w:bookmarkStart w:id="2" w:name="Student_Underage_Admissions_Procedure"/>
      <w:bookmarkEnd w:id="2"/>
      <w:r>
        <w:rPr>
          <w:b/>
          <w:color w:val="424242"/>
          <w:sz w:val="24"/>
        </w:rPr>
        <w:t>Student</w:t>
      </w:r>
      <w:r>
        <w:rPr>
          <w:b/>
          <w:color w:val="424242"/>
          <w:spacing w:val="-3"/>
          <w:sz w:val="24"/>
        </w:rPr>
        <w:t xml:space="preserve"> </w:t>
      </w:r>
      <w:r>
        <w:rPr>
          <w:b/>
          <w:color w:val="424242"/>
          <w:sz w:val="24"/>
        </w:rPr>
        <w:t>Underage</w:t>
      </w:r>
      <w:r>
        <w:rPr>
          <w:b/>
          <w:color w:val="424242"/>
          <w:spacing w:val="-3"/>
          <w:sz w:val="24"/>
        </w:rPr>
        <w:t xml:space="preserve"> </w:t>
      </w:r>
      <w:r>
        <w:rPr>
          <w:b/>
          <w:color w:val="424242"/>
          <w:sz w:val="24"/>
        </w:rPr>
        <w:t>Admissions</w:t>
      </w:r>
      <w:r>
        <w:rPr>
          <w:b/>
          <w:color w:val="424242"/>
          <w:spacing w:val="-2"/>
          <w:sz w:val="24"/>
        </w:rPr>
        <w:t xml:space="preserve"> Procedure</w:t>
      </w:r>
    </w:p>
    <w:p w14:paraId="0072B568" w14:textId="77777777" w:rsidR="00D43758" w:rsidRDefault="00D43758" w:rsidP="00D43758">
      <w:pPr>
        <w:pStyle w:val="BodyText"/>
        <w:spacing w:before="92"/>
        <w:ind w:left="28"/>
        <w:rPr>
          <w:color w:val="000000"/>
        </w:rPr>
      </w:pPr>
      <w:r>
        <w:rPr>
          <w:color w:val="424242"/>
        </w:rPr>
        <w:t>For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information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underage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admissions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procedure,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refer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4"/>
        </w:rPr>
        <w:t xml:space="preserve"> </w:t>
      </w:r>
      <w:hyperlink r:id="rId7">
        <w:r>
          <w:rPr>
            <w:color w:val="0000FF"/>
            <w:sz w:val="22"/>
            <w:u w:val="single" w:color="0000FF"/>
          </w:rPr>
          <w:t>Underage</w:t>
        </w:r>
        <w:r>
          <w:rPr>
            <w:color w:val="0000FF"/>
            <w:spacing w:val="-3"/>
            <w:sz w:val="22"/>
            <w:u w:val="single" w:color="0000FF"/>
          </w:rPr>
          <w:t xml:space="preserve"> </w:t>
        </w:r>
        <w:r>
          <w:rPr>
            <w:color w:val="0000FF"/>
            <w:sz w:val="22"/>
            <w:u w:val="single" w:color="0000FF"/>
          </w:rPr>
          <w:t>Packet</w:t>
        </w:r>
        <w:r>
          <w:rPr>
            <w:color w:val="424242"/>
          </w:rPr>
          <w:t>.</w:t>
        </w:r>
      </w:hyperlink>
      <w:r>
        <w:rPr>
          <w:color w:val="424242"/>
          <w:spacing w:val="-3"/>
        </w:rPr>
        <w:t xml:space="preserve"> </w:t>
      </w:r>
      <w:r>
        <w:rPr>
          <w:color w:val="424242"/>
        </w:rPr>
        <w:t>If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you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need assistance with the process, contact the Director of Accelerated Learning.</w:t>
      </w:r>
    </w:p>
    <w:p w14:paraId="4BA6144C" w14:textId="77777777" w:rsidR="00D43758" w:rsidRDefault="00D43758" w:rsidP="00D43758">
      <w:pPr>
        <w:pStyle w:val="BodyText"/>
        <w:spacing w:before="13"/>
        <w:rPr>
          <w:color w:val="000000"/>
          <w:sz w:val="23"/>
        </w:rPr>
      </w:pPr>
    </w:p>
    <w:p w14:paraId="3D658652" w14:textId="77777777" w:rsidR="00D43758" w:rsidRDefault="00D43758" w:rsidP="00D43758">
      <w:pPr>
        <w:spacing w:line="319" w:lineRule="exact"/>
        <w:ind w:left="28"/>
        <w:rPr>
          <w:color w:val="000000"/>
          <w:sz w:val="24"/>
        </w:rPr>
      </w:pPr>
      <w:r>
        <w:rPr>
          <w:b/>
          <w:color w:val="424242"/>
          <w:sz w:val="24"/>
        </w:rPr>
        <w:t>Title</w:t>
      </w:r>
      <w:r>
        <w:rPr>
          <w:b/>
          <w:color w:val="424242"/>
          <w:spacing w:val="-2"/>
          <w:sz w:val="24"/>
        </w:rPr>
        <w:t xml:space="preserve"> </w:t>
      </w:r>
      <w:r>
        <w:rPr>
          <w:b/>
          <w:color w:val="424242"/>
          <w:sz w:val="24"/>
        </w:rPr>
        <w:t>IX</w:t>
      </w:r>
      <w:r>
        <w:rPr>
          <w:b/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For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information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on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Title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IX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and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student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conduct,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refer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to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the</w:t>
      </w:r>
      <w:r>
        <w:rPr>
          <w:color w:val="424242"/>
          <w:spacing w:val="-6"/>
          <w:sz w:val="24"/>
        </w:rPr>
        <w:t xml:space="preserve"> </w:t>
      </w:r>
      <w:hyperlink r:id="rId8">
        <w:r>
          <w:rPr>
            <w:color w:val="0000FF"/>
            <w:u w:val="single" w:color="0000FF"/>
          </w:rPr>
          <w:t>Title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IX</w:t>
        </w:r>
      </w:hyperlink>
      <w:r>
        <w:rPr>
          <w:color w:val="0000FF"/>
          <w:spacing w:val="3"/>
        </w:rPr>
        <w:t xml:space="preserve"> </w:t>
      </w:r>
      <w:r>
        <w:rPr>
          <w:color w:val="424242"/>
          <w:spacing w:val="-2"/>
          <w:sz w:val="24"/>
        </w:rPr>
        <w:t>page.</w:t>
      </w:r>
    </w:p>
    <w:p w14:paraId="1872F82C" w14:textId="77777777" w:rsidR="00BF1084" w:rsidRDefault="00BF1084"/>
    <w:sectPr w:rsidR="00BF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58"/>
    <w:rsid w:val="00BF1084"/>
    <w:rsid w:val="00D4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45D2"/>
  <w15:chartTrackingRefBased/>
  <w15:docId w15:val="{2671182F-1995-4998-8505-57C0DC5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58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375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3758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amathcc.edu/en-US/safe-campus/title-i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lamathcc.edu/_documents/high-school-documents/forms/Underage%20Packet%20w%20Instruction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mathcc.edu/en-US/students/student-life/student-policies/index.html" TargetMode="External"/><Relationship Id="rId5" Type="http://schemas.openxmlformats.org/officeDocument/2006/relationships/hyperlink" Target="https://www.klamathcc.edu/en-US/students/student-life/student-resources/accessibility-services-and-resources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lamathcc.edu/en-US/students/student-life/student-policies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Klamath Community College 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Ellis</dc:creator>
  <cp:keywords/>
  <dc:description/>
  <cp:lastModifiedBy>Tawni Ellis</cp:lastModifiedBy>
  <cp:revision>1</cp:revision>
  <dcterms:created xsi:type="dcterms:W3CDTF">2025-07-15T15:14:00Z</dcterms:created>
  <dcterms:modified xsi:type="dcterms:W3CDTF">2025-07-15T15:15:00Z</dcterms:modified>
</cp:coreProperties>
</file>